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68AB" w14:textId="7E9C044C" w:rsidR="008D55BD" w:rsidRDefault="008D55BD" w:rsidP="008D55BD">
      <w:pPr>
        <w:pStyle w:val="Kop4"/>
        <w:rPr>
          <w:rStyle w:val="Verwijzingopmerking"/>
          <w:sz w:val="22"/>
          <w:szCs w:val="22"/>
        </w:rPr>
      </w:pPr>
      <w:r>
        <w:rPr>
          <w:rStyle w:val="Verwijzingopmerking"/>
          <w:sz w:val="22"/>
          <w:szCs w:val="22"/>
        </w:rPr>
        <w:t>Duurzame Kennishuishouding 2021, een bestuurlijk succes:</w:t>
      </w:r>
    </w:p>
    <w:p w14:paraId="23025159" w14:textId="77777777" w:rsidR="008D55BD" w:rsidRPr="008D55BD" w:rsidRDefault="008D55BD" w:rsidP="008D55BD">
      <w:pPr>
        <w:rPr>
          <w:lang w:eastAsia="en-US"/>
        </w:rPr>
      </w:pPr>
    </w:p>
    <w:p w14:paraId="11CA5055" w14:textId="7C1FCD31" w:rsidR="00687B78" w:rsidRPr="00687B78" w:rsidRDefault="008D55BD" w:rsidP="00687B78">
      <w:pPr>
        <w:rPr>
          <w:b/>
          <w:bCs/>
          <w:noProof/>
          <w:sz w:val="20"/>
          <w:szCs w:val="20"/>
          <w:lang w:eastAsia="nl-NL"/>
        </w:rPr>
      </w:pPr>
      <w:r>
        <w:rPr>
          <w:b/>
          <w:bCs/>
          <w:sz w:val="20"/>
          <w:szCs w:val="20"/>
        </w:rPr>
        <w:t>Voor o</w:t>
      </w:r>
      <w:r w:rsidRPr="003B04C1">
        <w:rPr>
          <w:b/>
          <w:bCs/>
          <w:sz w:val="20"/>
          <w:szCs w:val="20"/>
        </w:rPr>
        <w:t xml:space="preserve">nze vierde doelstelling </w:t>
      </w:r>
      <w:r w:rsidRPr="003B04C1">
        <w:rPr>
          <w:b/>
          <w:bCs/>
          <w:i/>
          <w:iCs/>
          <w:sz w:val="20"/>
          <w:szCs w:val="20"/>
        </w:rPr>
        <w:t>“</w:t>
      </w:r>
      <w:r w:rsidRPr="003B04C1">
        <w:rPr>
          <w:i/>
          <w:iCs/>
          <w:sz w:val="20"/>
          <w:szCs w:val="20"/>
        </w:rPr>
        <w:t xml:space="preserve">Het ontwikkelen van een duurzame kennishuishouding ten aanzien van het Waddengebied” </w:t>
      </w:r>
      <w:r w:rsidRPr="003B04C1">
        <w:rPr>
          <w:sz w:val="20"/>
          <w:szCs w:val="20"/>
        </w:rPr>
        <w:t xml:space="preserve">hebben we </w:t>
      </w:r>
      <w:r>
        <w:rPr>
          <w:sz w:val="20"/>
          <w:szCs w:val="20"/>
        </w:rPr>
        <w:t xml:space="preserve">tot en met 2022 </w:t>
      </w:r>
      <w:r w:rsidRPr="003B04C1">
        <w:rPr>
          <w:sz w:val="20"/>
          <w:szCs w:val="20"/>
        </w:rPr>
        <w:t>vormgegeven door het verstrekken van € 1.2 miljoen subsidie aan de Waddenacademie. Per 2022 wordt dit anders uitgevoerd</w:t>
      </w:r>
      <w:r w:rsidR="00687B78">
        <w:rPr>
          <w:sz w:val="20"/>
          <w:szCs w:val="20"/>
        </w:rPr>
        <w:t xml:space="preserve"> door de Waddenacademie namelijk als </w:t>
      </w:r>
      <w:r w:rsidR="00687B78" w:rsidRPr="00687B78">
        <w:rPr>
          <w:b/>
          <w:bCs/>
          <w:noProof/>
          <w:sz w:val="20"/>
          <w:szCs w:val="20"/>
          <w:lang w:eastAsia="nl-NL"/>
        </w:rPr>
        <w:t xml:space="preserve">Kennisregisseur - duurzame kennishuishouding Waddengebied </w:t>
      </w:r>
    </w:p>
    <w:p w14:paraId="69380152" w14:textId="5AF0768C" w:rsidR="008D55BD" w:rsidRPr="003B04C1" w:rsidRDefault="008D55BD" w:rsidP="008D55BD">
      <w:pPr>
        <w:pStyle w:val="Geenafstand"/>
        <w:rPr>
          <w:sz w:val="20"/>
          <w:szCs w:val="20"/>
          <w:lang w:eastAsia="nl-NL"/>
        </w:rPr>
      </w:pPr>
      <w:r>
        <w:rPr>
          <w:sz w:val="20"/>
          <w:szCs w:val="20"/>
          <w:lang w:eastAsia="nl-NL"/>
        </w:rPr>
        <w:t>In het verleden is</w:t>
      </w:r>
      <w:r w:rsidRPr="003B04C1">
        <w:rPr>
          <w:sz w:val="20"/>
          <w:szCs w:val="20"/>
          <w:lang w:eastAsia="nl-NL"/>
        </w:rPr>
        <w:t xml:space="preserve"> gebleken dat niet alle betrokkenen een helder beeld hebben wat precies verstaan wordt onder een duurzame kennishuishouding. Wat een “kennishouding” precies omvat en waar die aan moet voldoen om het predicaat “duurzaam” te verdienen is niet bij iedereen duidelijk. Dit bemoeilijkte de inspanningen om de vierde hoofddoelstelling te verwezenlijken, zowel op politiek-bestuurlijk vlak - waarvoor zijn de bestuurders nu precies verantwoordelijk en waarvoor niet? - als op inhoudelijk vlak - welke kenmerken moet de kennishuishouding hebben willen we kunnen spreken van doelrealisatie?  </w:t>
      </w:r>
    </w:p>
    <w:p w14:paraId="24978A39" w14:textId="77777777" w:rsidR="008D55BD" w:rsidRPr="003B04C1" w:rsidRDefault="008D55BD" w:rsidP="008D55BD">
      <w:pPr>
        <w:pStyle w:val="Geenafstand"/>
        <w:rPr>
          <w:sz w:val="20"/>
          <w:szCs w:val="20"/>
          <w:lang w:eastAsia="nl-NL"/>
        </w:rPr>
      </w:pPr>
    </w:p>
    <w:p w14:paraId="649E619B" w14:textId="0ED2E300" w:rsidR="008D55BD" w:rsidRPr="003B04C1" w:rsidRDefault="008D55BD" w:rsidP="008D55BD">
      <w:pPr>
        <w:pStyle w:val="Geenafstand"/>
        <w:rPr>
          <w:sz w:val="20"/>
          <w:szCs w:val="20"/>
          <w:lang w:eastAsia="nl-NL"/>
        </w:rPr>
      </w:pPr>
      <w:r w:rsidRPr="003B04C1">
        <w:rPr>
          <w:sz w:val="20"/>
          <w:szCs w:val="20"/>
          <w:lang w:eastAsia="nl-NL"/>
        </w:rPr>
        <w:t xml:space="preserve">Sinds 2019 </w:t>
      </w:r>
      <w:r>
        <w:rPr>
          <w:sz w:val="20"/>
          <w:szCs w:val="20"/>
          <w:lang w:eastAsia="nl-NL"/>
        </w:rPr>
        <w:t xml:space="preserve">heeft </w:t>
      </w:r>
      <w:r w:rsidRPr="003B04C1">
        <w:rPr>
          <w:sz w:val="20"/>
          <w:szCs w:val="20"/>
          <w:lang w:eastAsia="nl-NL"/>
        </w:rPr>
        <w:t xml:space="preserve">het Waddenfonds </w:t>
      </w:r>
      <w:r>
        <w:rPr>
          <w:sz w:val="20"/>
          <w:szCs w:val="20"/>
          <w:lang w:eastAsia="nl-NL"/>
        </w:rPr>
        <w:t xml:space="preserve">gewerkt </w:t>
      </w:r>
      <w:r w:rsidRPr="003B04C1">
        <w:rPr>
          <w:sz w:val="20"/>
          <w:szCs w:val="20"/>
          <w:lang w:eastAsia="nl-NL"/>
        </w:rPr>
        <w:t xml:space="preserve">aan een betere governance van de kennishuishouding voor de Wadden. In 2020 is in de ontwikkeling van de Ontwerp-Agenda voor het Waddengebied 2050 gekozen om deze verantwoordelijkheid bij het Bestuurlijk Overleg Wadden (BOW) te leggen. Op initiatief van de Waddenprovincies in het BOW maakten het Waddenfonds, de Waddenprovincies, de ministeries van LNV, I&amp;W en EZK, de Beheerautoriteit Waddenzee en de Waddenacademie in 2021 een voorstel over de herziening van duurzame kennishuishouding. </w:t>
      </w:r>
    </w:p>
    <w:p w14:paraId="2B135A4A" w14:textId="77777777" w:rsidR="008D55BD" w:rsidRDefault="008D55BD" w:rsidP="008D55BD">
      <w:pPr>
        <w:pStyle w:val="Geenafstand"/>
        <w:rPr>
          <w:lang w:eastAsia="nl-NL"/>
        </w:rPr>
      </w:pPr>
    </w:p>
    <w:p w14:paraId="207BA0B3" w14:textId="77777777" w:rsidR="008D55BD" w:rsidRPr="003B04C1" w:rsidRDefault="008D55BD" w:rsidP="008D55BD">
      <w:pPr>
        <w:pStyle w:val="Geenafstand"/>
        <w:rPr>
          <w:sz w:val="20"/>
          <w:szCs w:val="20"/>
          <w:lang w:eastAsia="nl-NL"/>
        </w:rPr>
      </w:pPr>
      <w:r w:rsidRPr="003B04C1">
        <w:rPr>
          <w:sz w:val="20"/>
          <w:szCs w:val="20"/>
          <w:lang w:eastAsia="nl-NL"/>
        </w:rPr>
        <w:t>Kern van het voorstel is dat partijen in het BOW samenwerken aan het ontwikkelen van kennis. Een integrale kennisagenda geeft aan welke kennis de eerstkomende vijf jaar ontwikkeld wordt en welke partij hiervoor moet zorgdragen. De onderwerpen uit de Agenda voor het Waddengebied en de Trilaterale Onderzoeksagenda vormen het startpunt van deze kennisagenda. Hierbij wordt kennis breed gedefinieerd. Het begrip kennis omvat behalve wetenschappelijke kennis, ook monitoring en toegepaste kennisontwikkeling (beleid en beheer). Een zogenaamde kennisregisseur houdt het overzicht en adviseert over te vullen kennisleemtes, te stellen prioriteiten en trajecten die eventueel ‘slimmer’ georganiseerd kunnen worden. Op basis van dit voorstel heeft het BOW voor de zomer besloten:</w:t>
      </w:r>
    </w:p>
    <w:p w14:paraId="41D0C85F" w14:textId="77777777" w:rsidR="008D55BD" w:rsidRPr="003B04C1" w:rsidRDefault="008D55BD" w:rsidP="008D55BD">
      <w:pPr>
        <w:pStyle w:val="Geenafstand"/>
        <w:ind w:left="708" w:hanging="708"/>
        <w:rPr>
          <w:sz w:val="20"/>
          <w:szCs w:val="20"/>
          <w:lang w:eastAsia="nl-NL"/>
        </w:rPr>
      </w:pPr>
      <w:r w:rsidRPr="003B04C1">
        <w:rPr>
          <w:sz w:val="20"/>
          <w:szCs w:val="20"/>
          <w:lang w:eastAsia="nl-NL"/>
        </w:rPr>
        <w:t>1.</w:t>
      </w:r>
      <w:r w:rsidRPr="003B04C1">
        <w:rPr>
          <w:sz w:val="20"/>
          <w:szCs w:val="20"/>
          <w:lang w:eastAsia="nl-NL"/>
        </w:rPr>
        <w:tab/>
        <w:t>De gezamenlijke verantwoordelijkheid voor een duurzame kennishouding voor het Waddengebied op zich te nemen</w:t>
      </w:r>
      <w:r>
        <w:rPr>
          <w:sz w:val="20"/>
          <w:szCs w:val="20"/>
          <w:lang w:eastAsia="nl-NL"/>
        </w:rPr>
        <w:t>;</w:t>
      </w:r>
    </w:p>
    <w:p w14:paraId="01A3BA15" w14:textId="77777777" w:rsidR="008D55BD" w:rsidRPr="003B04C1" w:rsidRDefault="008D55BD" w:rsidP="008D55BD">
      <w:pPr>
        <w:pStyle w:val="Geenafstand"/>
        <w:ind w:left="708" w:hanging="708"/>
        <w:rPr>
          <w:sz w:val="20"/>
          <w:szCs w:val="20"/>
          <w:lang w:eastAsia="nl-NL"/>
        </w:rPr>
      </w:pPr>
      <w:r w:rsidRPr="003B04C1">
        <w:rPr>
          <w:sz w:val="20"/>
          <w:szCs w:val="20"/>
          <w:lang w:eastAsia="nl-NL"/>
        </w:rPr>
        <w:t>2.</w:t>
      </w:r>
      <w:r w:rsidRPr="003B04C1">
        <w:rPr>
          <w:sz w:val="20"/>
          <w:szCs w:val="20"/>
          <w:lang w:eastAsia="nl-NL"/>
        </w:rPr>
        <w:tab/>
        <w:t xml:space="preserve">De Waddenacademie als kennisregisseur te vragen zorg te dragen voor een meerjarige Kennisagenda 2023-2027 en een jaaroverzicht Onderzoeksopgave 2023. </w:t>
      </w:r>
    </w:p>
    <w:p w14:paraId="01267BBE" w14:textId="77777777" w:rsidR="008D55BD" w:rsidRPr="003B04C1" w:rsidRDefault="008D55BD" w:rsidP="008D55BD">
      <w:pPr>
        <w:pStyle w:val="Geenafstand"/>
        <w:rPr>
          <w:sz w:val="20"/>
          <w:szCs w:val="20"/>
          <w:lang w:eastAsia="nl-NL"/>
        </w:rPr>
      </w:pPr>
      <w:r w:rsidRPr="003B04C1">
        <w:rPr>
          <w:sz w:val="20"/>
          <w:szCs w:val="20"/>
          <w:lang w:eastAsia="nl-NL"/>
        </w:rPr>
        <w:t>Medio 2022 zullen deze stukken aan het BOW worden voorgelegd.</w:t>
      </w:r>
    </w:p>
    <w:p w14:paraId="3C65DFC6" w14:textId="77777777" w:rsidR="008D55BD" w:rsidRPr="003B04C1" w:rsidRDefault="008D55BD" w:rsidP="008D55BD">
      <w:pPr>
        <w:pStyle w:val="Geenafstand"/>
        <w:rPr>
          <w:sz w:val="20"/>
          <w:szCs w:val="20"/>
          <w:lang w:eastAsia="nl-NL"/>
        </w:rPr>
      </w:pPr>
    </w:p>
    <w:p w14:paraId="03FD960C" w14:textId="77777777" w:rsidR="008D55BD" w:rsidRDefault="008D55BD" w:rsidP="008D55BD">
      <w:pPr>
        <w:rPr>
          <w:sz w:val="20"/>
          <w:szCs w:val="20"/>
          <w:lang w:eastAsia="nl-NL"/>
        </w:rPr>
      </w:pPr>
      <w:r w:rsidRPr="003B04C1">
        <w:rPr>
          <w:sz w:val="20"/>
          <w:szCs w:val="20"/>
          <w:lang w:eastAsia="nl-NL"/>
        </w:rPr>
        <w:t xml:space="preserve">Met de geschetste ontwikkeling is een bepalende inhoudelijke stap gezet in de </w:t>
      </w:r>
      <w:r>
        <w:rPr>
          <w:sz w:val="20"/>
          <w:szCs w:val="20"/>
          <w:lang w:eastAsia="nl-NL"/>
        </w:rPr>
        <w:t xml:space="preserve">verdere </w:t>
      </w:r>
      <w:r w:rsidRPr="003B04C1">
        <w:rPr>
          <w:sz w:val="20"/>
          <w:szCs w:val="20"/>
          <w:lang w:eastAsia="nl-NL"/>
        </w:rPr>
        <w:t xml:space="preserve">realisatie van de kennisdoelstelling. Met de besluitvorming van het BOW is de doorontwikkeling en instandhouding van deze doelstelling ingebed in de nieuwe bestuurlijke organisatie voor het Waddengebied en daarmee een gezamenlijke bestuurlijke verantwoordelijkheid van partijen in het BOW. </w:t>
      </w:r>
      <w:r>
        <w:rPr>
          <w:sz w:val="20"/>
          <w:szCs w:val="20"/>
          <w:lang w:eastAsia="nl-NL"/>
        </w:rPr>
        <w:t xml:space="preserve">Het bestuur van het Waddenfonds is trots op deze uitkomsten en de genomen besluiten. </w:t>
      </w:r>
    </w:p>
    <w:p w14:paraId="2B46734D" w14:textId="4B5B2DEC" w:rsidR="008D55BD" w:rsidRPr="003B04C1" w:rsidRDefault="008D55BD" w:rsidP="008D55BD">
      <w:pPr>
        <w:rPr>
          <w:b/>
          <w:sz w:val="20"/>
          <w:szCs w:val="20"/>
        </w:rPr>
      </w:pPr>
      <w:r>
        <w:rPr>
          <w:sz w:val="20"/>
          <w:szCs w:val="20"/>
          <w:lang w:eastAsia="nl-NL"/>
        </w:rPr>
        <w:t xml:space="preserve">Met deze besluitvorming </w:t>
      </w:r>
      <w:r w:rsidRPr="003B04C1">
        <w:rPr>
          <w:sz w:val="20"/>
          <w:szCs w:val="20"/>
          <w:lang w:eastAsia="nl-NL"/>
        </w:rPr>
        <w:t>verandert ook de rol van het Waddenfonds</w:t>
      </w:r>
      <w:r>
        <w:rPr>
          <w:sz w:val="20"/>
          <w:szCs w:val="20"/>
          <w:lang w:eastAsia="nl-NL"/>
        </w:rPr>
        <w:t>,</w:t>
      </w:r>
      <w:r w:rsidRPr="003B04C1">
        <w:rPr>
          <w:sz w:val="20"/>
          <w:szCs w:val="20"/>
          <w:lang w:eastAsia="nl-NL"/>
        </w:rPr>
        <w:t xml:space="preserve"> </w:t>
      </w:r>
      <w:r>
        <w:rPr>
          <w:sz w:val="20"/>
          <w:szCs w:val="20"/>
          <w:lang w:eastAsia="nl-NL"/>
        </w:rPr>
        <w:t>voor</w:t>
      </w:r>
      <w:r w:rsidRPr="003B04C1">
        <w:rPr>
          <w:sz w:val="20"/>
          <w:szCs w:val="20"/>
          <w:lang w:eastAsia="nl-NL"/>
        </w:rPr>
        <w:t xml:space="preserve"> de resterende looptijd verschuift het accent naar de rol van financier, namens de samenwerkende provincies in het BOW, als bijdrage in de kosten van de gezamenlijk in stand te houden kennishuishouding. De bekostiging vindt plaats door de jaardotatie vanuit het Rijk ten behoeve van het Waddenfonds. Uiteraard zal daarnaast de mogelijkheid blijven bestaan om gedurende de looptijd van het fonds specifieke kennisgerelateerde activiteiten te subsidiëren.</w:t>
      </w:r>
    </w:p>
    <w:p w14:paraId="640084EF" w14:textId="4D2588E9" w:rsidR="008D55BD" w:rsidRPr="00081773" w:rsidRDefault="00687B78" w:rsidP="008D55BD">
      <w:pPr>
        <w:rPr>
          <w:sz w:val="20"/>
          <w:szCs w:val="20"/>
          <w:lang w:eastAsia="nl-NL"/>
        </w:rPr>
      </w:pPr>
      <w:r>
        <w:rPr>
          <w:sz w:val="20"/>
          <w:szCs w:val="20"/>
          <w:lang w:eastAsia="nl-NL"/>
        </w:rPr>
        <w:t xml:space="preserve">In 2022 </w:t>
      </w:r>
      <w:r w:rsidR="008D55BD" w:rsidRPr="00081773">
        <w:rPr>
          <w:sz w:val="20"/>
          <w:szCs w:val="20"/>
          <w:lang w:eastAsia="nl-NL"/>
        </w:rPr>
        <w:t>heeft</w:t>
      </w:r>
      <w:r>
        <w:rPr>
          <w:sz w:val="20"/>
          <w:szCs w:val="20"/>
          <w:lang w:eastAsia="nl-NL"/>
        </w:rPr>
        <w:t xml:space="preserve"> dit</w:t>
      </w:r>
      <w:r w:rsidR="008D55BD" w:rsidRPr="00081773">
        <w:rPr>
          <w:sz w:val="20"/>
          <w:szCs w:val="20"/>
          <w:lang w:eastAsia="nl-NL"/>
        </w:rPr>
        <w:t xml:space="preserve"> zijn uitwerking gekregen in de Agenda voor het Waddengebied 2050. Hierin is opgenomen dat de duurzame kennishuishouding een verantwoordelijkheid is van het Bestuurlijk Overleg Waddengebied (BOW). In het BOW van juni 2021 </w:t>
      </w:r>
      <w:r w:rsidR="008D55BD">
        <w:rPr>
          <w:sz w:val="20"/>
          <w:szCs w:val="20"/>
          <w:lang w:eastAsia="nl-NL"/>
        </w:rPr>
        <w:t xml:space="preserve">kreeg de </w:t>
      </w:r>
      <w:r w:rsidR="008D55BD" w:rsidRPr="00081773">
        <w:rPr>
          <w:sz w:val="20"/>
          <w:szCs w:val="20"/>
          <w:lang w:eastAsia="nl-NL"/>
        </w:rPr>
        <w:t xml:space="preserve">Waddenacademie </w:t>
      </w:r>
      <w:r w:rsidR="008D55BD">
        <w:rPr>
          <w:sz w:val="20"/>
          <w:szCs w:val="20"/>
          <w:lang w:eastAsia="nl-NL"/>
        </w:rPr>
        <w:t xml:space="preserve">de opdracht </w:t>
      </w:r>
      <w:r w:rsidR="008D55BD" w:rsidRPr="00081773">
        <w:rPr>
          <w:sz w:val="20"/>
          <w:szCs w:val="20"/>
          <w:lang w:eastAsia="nl-NL"/>
        </w:rPr>
        <w:t>een voorstel te schrijven hoe ze zich als kennisregisseur van het Waddengebied zou</w:t>
      </w:r>
      <w:r w:rsidR="008D55BD">
        <w:rPr>
          <w:sz w:val="20"/>
          <w:szCs w:val="20"/>
          <w:lang w:eastAsia="nl-NL"/>
        </w:rPr>
        <w:t>den</w:t>
      </w:r>
      <w:r w:rsidR="008D55BD" w:rsidRPr="00081773">
        <w:rPr>
          <w:sz w:val="20"/>
          <w:szCs w:val="20"/>
          <w:lang w:eastAsia="nl-NL"/>
        </w:rPr>
        <w:t xml:space="preserve"> kunnen ontwikkelen. </w:t>
      </w:r>
      <w:r w:rsidR="008D55BD">
        <w:rPr>
          <w:sz w:val="20"/>
          <w:szCs w:val="20"/>
          <w:lang w:eastAsia="nl-NL"/>
        </w:rPr>
        <w:t xml:space="preserve">Aan </w:t>
      </w:r>
      <w:r w:rsidR="008D55BD" w:rsidRPr="00081773">
        <w:rPr>
          <w:sz w:val="20"/>
          <w:szCs w:val="20"/>
          <w:lang w:eastAsia="nl-NL"/>
        </w:rPr>
        <w:t>de Waddenacademie</w:t>
      </w:r>
      <w:r w:rsidR="008D55BD">
        <w:rPr>
          <w:sz w:val="20"/>
          <w:szCs w:val="20"/>
          <w:lang w:eastAsia="nl-NL"/>
        </w:rPr>
        <w:t xml:space="preserve"> is</w:t>
      </w:r>
      <w:r w:rsidR="008D55BD" w:rsidRPr="00081773">
        <w:rPr>
          <w:sz w:val="20"/>
          <w:szCs w:val="20"/>
          <w:lang w:eastAsia="nl-NL"/>
        </w:rPr>
        <w:t xml:space="preserve"> gevraagd om, op basis van een geschetst eindbeeld, een meerjarig operationeel plan (MOP) inclusief meerjarige financiering op te stellen en toe te werken naar een duurzame inrichting en aansturing van de kennishuishouding. </w:t>
      </w:r>
    </w:p>
    <w:p w14:paraId="257065DD" w14:textId="39D7D197" w:rsidR="008D55BD" w:rsidRDefault="00687B78">
      <w:r>
        <w:rPr>
          <w:sz w:val="20"/>
          <w:szCs w:val="20"/>
          <w:lang w:eastAsia="nl-NL"/>
        </w:rPr>
        <w:lastRenderedPageBreak/>
        <w:t>In 2022</w:t>
      </w:r>
      <w:r w:rsidR="008D55BD" w:rsidRPr="00081773">
        <w:rPr>
          <w:sz w:val="20"/>
          <w:szCs w:val="20"/>
          <w:lang w:eastAsia="nl-NL"/>
        </w:rPr>
        <w:t xml:space="preserve"> is er door de Waddenacademie veel werk verzet aan het MOP, de contouren voor een meerjarige kennisagenda 2023-2027 en de onderzoeksopgave 2023. </w:t>
      </w:r>
    </w:p>
    <w:p w14:paraId="422079A1" w14:textId="0600C068" w:rsidR="008D55BD" w:rsidRDefault="008D55BD">
      <w:r>
        <w:rPr>
          <w:noProof/>
          <w:sz w:val="20"/>
          <w:szCs w:val="20"/>
          <w:lang w:eastAsia="nl-NL"/>
        </w:rPr>
        <w:drawing>
          <wp:anchor distT="0" distB="0" distL="114300" distR="114300" simplePos="0" relativeHeight="251661312" behindDoc="0" locked="0" layoutInCell="1" allowOverlap="1" wp14:anchorId="528A6BD0" wp14:editId="2E3A0AE5">
            <wp:simplePos x="0" y="0"/>
            <wp:positionH relativeFrom="margin">
              <wp:posOffset>-119380</wp:posOffset>
            </wp:positionH>
            <wp:positionV relativeFrom="paragraph">
              <wp:posOffset>0</wp:posOffset>
            </wp:positionV>
            <wp:extent cx="5610225" cy="7468235"/>
            <wp:effectExtent l="0" t="0" r="9525" b="0"/>
            <wp:wrapSquare wrapText="bothSides"/>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7468235"/>
                    </a:xfrm>
                    <a:prstGeom prst="rect">
                      <a:avLst/>
                    </a:prstGeom>
                    <a:noFill/>
                  </pic:spPr>
                </pic:pic>
              </a:graphicData>
            </a:graphic>
            <wp14:sizeRelH relativeFrom="page">
              <wp14:pctWidth>0</wp14:pctWidth>
            </wp14:sizeRelH>
            <wp14:sizeRelV relativeFrom="page">
              <wp14:pctHeight>0</wp14:pctHeight>
            </wp14:sizeRelV>
          </wp:anchor>
        </w:drawing>
      </w:r>
    </w:p>
    <w:p w14:paraId="225B2576" w14:textId="2899D7FC" w:rsidR="008D55BD" w:rsidRDefault="008D55BD"/>
    <w:p w14:paraId="67EFDFF7" w14:textId="3554771C" w:rsidR="00687B78" w:rsidRDefault="008D55BD" w:rsidP="008D55BD">
      <w:pPr>
        <w:rPr>
          <w:noProof/>
          <w:sz w:val="20"/>
          <w:szCs w:val="20"/>
          <w:lang w:eastAsia="nl-NL"/>
        </w:rPr>
      </w:pPr>
      <w:r w:rsidRPr="00EE67D4">
        <w:rPr>
          <w:noProof/>
          <w:sz w:val="20"/>
          <w:szCs w:val="20"/>
          <w:lang w:eastAsia="nl-NL"/>
        </w:rPr>
        <w:t xml:space="preserve">Het Bestuurlijk Overleg Waddengebied (BOW) heeft op 8 december </w:t>
      </w:r>
      <w:r>
        <w:rPr>
          <w:noProof/>
          <w:sz w:val="20"/>
          <w:szCs w:val="20"/>
          <w:lang w:eastAsia="nl-NL"/>
        </w:rPr>
        <w:t>2022</w:t>
      </w:r>
      <w:r w:rsidRPr="00EE67D4">
        <w:rPr>
          <w:noProof/>
          <w:sz w:val="20"/>
          <w:szCs w:val="20"/>
          <w:lang w:eastAsia="nl-NL"/>
        </w:rPr>
        <w:t xml:space="preserve"> ingestemd met de aangescherpte opdracht Kennisregisseur Waddengebied voor de periode 2023 – 2026 en met het vaststellen van de begroting</w:t>
      </w:r>
      <w:r w:rsidR="002D0DCB">
        <w:rPr>
          <w:noProof/>
          <w:sz w:val="20"/>
          <w:szCs w:val="20"/>
          <w:lang w:eastAsia="nl-NL"/>
        </w:rPr>
        <w:t xml:space="preserve"> </w:t>
      </w:r>
      <w:r w:rsidR="002D0DCB">
        <w:rPr>
          <w:noProof/>
          <w:sz w:val="20"/>
          <w:szCs w:val="20"/>
          <w:lang w:eastAsia="nl-NL"/>
        </w:rPr>
        <w:lastRenderedPageBreak/>
        <w:t>Waddenfonds 2023</w:t>
      </w:r>
      <w:r w:rsidRPr="00EE67D4">
        <w:rPr>
          <w:noProof/>
          <w:sz w:val="20"/>
          <w:szCs w:val="20"/>
          <w:lang w:eastAsia="nl-NL"/>
        </w:rPr>
        <w:t xml:space="preserve"> en het jaarlijkse budget van de Waddenacademie op € 1,1 miljoen tot en met 2026, gefinancierd door het Waddenfonds. Met deze aangescherpte opdracht is ook het Meerjarig Operationeel Programma (MOP) vastgesteld. </w:t>
      </w:r>
    </w:p>
    <w:p w14:paraId="276A4D6C" w14:textId="1F84D297" w:rsidR="00687B78" w:rsidRDefault="008D55BD" w:rsidP="00687B78">
      <w:pPr>
        <w:rPr>
          <w:noProof/>
        </w:rPr>
      </w:pPr>
      <w:r w:rsidRPr="00EE67D4">
        <w:rPr>
          <w:noProof/>
          <w:sz w:val="20"/>
          <w:szCs w:val="20"/>
          <w:lang w:eastAsia="nl-NL"/>
        </w:rPr>
        <w:t xml:space="preserve">Tevens heeft het BOW ingestemd met het opstellen van een gezamenlijk advies voor de financiering van de Waddenacademie na 2026. </w:t>
      </w:r>
      <w:r w:rsidR="00687B78">
        <w:rPr>
          <w:noProof/>
          <w:sz w:val="20"/>
          <w:szCs w:val="20"/>
          <w:lang w:eastAsia="nl-NL"/>
        </w:rPr>
        <w:t>Voor 2027 waren hier al afspraken over gemaakt, in december 2025 heeft h</w:t>
      </w:r>
      <w:r w:rsidR="00687B78" w:rsidRPr="00590F2D">
        <w:rPr>
          <w:sz w:val="20"/>
          <w:szCs w:val="20"/>
          <w:lang w:eastAsia="nl-NL"/>
        </w:rPr>
        <w:t>et dagelijks</w:t>
      </w:r>
      <w:r w:rsidR="00687B78">
        <w:rPr>
          <w:sz w:val="20"/>
          <w:szCs w:val="20"/>
          <w:lang w:eastAsia="nl-NL"/>
        </w:rPr>
        <w:t xml:space="preserve"> en algemeen </w:t>
      </w:r>
      <w:r w:rsidR="00687B78" w:rsidRPr="00590F2D">
        <w:rPr>
          <w:sz w:val="20"/>
          <w:szCs w:val="20"/>
          <w:lang w:eastAsia="nl-NL"/>
        </w:rPr>
        <w:t xml:space="preserve">bestuur </w:t>
      </w:r>
      <w:r w:rsidR="00687B78">
        <w:rPr>
          <w:sz w:val="20"/>
          <w:szCs w:val="20"/>
          <w:lang w:eastAsia="nl-NL"/>
        </w:rPr>
        <w:t>Waddenfonds besloten maximaal 4,6 miljoen van de totaal geraamde kosten</w:t>
      </w:r>
      <w:r w:rsidR="00687B78" w:rsidRPr="00590F2D">
        <w:rPr>
          <w:sz w:val="20"/>
          <w:szCs w:val="20"/>
          <w:lang w:eastAsia="nl-NL"/>
        </w:rPr>
        <w:t xml:space="preserve"> voor de jaren 2028-2032 </w:t>
      </w:r>
      <w:r w:rsidR="00687B78">
        <w:rPr>
          <w:sz w:val="20"/>
          <w:szCs w:val="20"/>
          <w:lang w:eastAsia="nl-NL"/>
        </w:rPr>
        <w:t>v</w:t>
      </w:r>
      <w:r w:rsidR="00687B78" w:rsidRPr="00590F2D">
        <w:rPr>
          <w:sz w:val="20"/>
          <w:szCs w:val="20"/>
          <w:lang w:eastAsia="nl-NL"/>
        </w:rPr>
        <w:t>an de Waddenacademie in de begroting</w:t>
      </w:r>
      <w:r w:rsidR="00687B78">
        <w:rPr>
          <w:sz w:val="20"/>
          <w:szCs w:val="20"/>
          <w:lang w:eastAsia="nl-NL"/>
        </w:rPr>
        <w:t xml:space="preserve"> 2027 en verder</w:t>
      </w:r>
      <w:r w:rsidR="00687B78" w:rsidRPr="00590F2D">
        <w:rPr>
          <w:sz w:val="20"/>
          <w:szCs w:val="20"/>
          <w:lang w:eastAsia="nl-NL"/>
        </w:rPr>
        <w:t xml:space="preserve"> op te nemen - met inachtneming dat de verlenging van de G</w:t>
      </w:r>
      <w:r w:rsidR="00687B78">
        <w:rPr>
          <w:sz w:val="20"/>
          <w:szCs w:val="20"/>
          <w:lang w:eastAsia="nl-NL"/>
        </w:rPr>
        <w:t>emeenschappelijke Regeling Waddenfonds</w:t>
      </w:r>
      <w:r w:rsidR="00687B78" w:rsidRPr="00590F2D">
        <w:rPr>
          <w:sz w:val="20"/>
          <w:szCs w:val="20"/>
          <w:lang w:eastAsia="nl-NL"/>
        </w:rPr>
        <w:t xml:space="preserve"> door de drie PS’en wordt vastgesteld. </w:t>
      </w:r>
      <w:r w:rsidR="00687B78">
        <w:rPr>
          <w:sz w:val="20"/>
          <w:szCs w:val="20"/>
          <w:lang w:eastAsia="nl-NL"/>
        </w:rPr>
        <w:t xml:space="preserve">De begroting 2027 ligt op dit moment ter besluitvorming bij het algemeen bestuur waar ze eind juni 2026 een besluit over gaan nemen. </w:t>
      </w:r>
    </w:p>
    <w:p w14:paraId="5E4C8E9B" w14:textId="64149E10" w:rsidR="008D55BD" w:rsidRDefault="008D55BD"/>
    <w:sectPr w:rsidR="008D5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BD"/>
    <w:rsid w:val="00217AAB"/>
    <w:rsid w:val="002D0DCB"/>
    <w:rsid w:val="00687B78"/>
    <w:rsid w:val="00730041"/>
    <w:rsid w:val="008D55BD"/>
    <w:rsid w:val="00AC3C6B"/>
    <w:rsid w:val="00C3404D"/>
    <w:rsid w:val="00C85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6C0B"/>
  <w15:chartTrackingRefBased/>
  <w15:docId w15:val="{2C409CD0-7A92-4335-ACEC-D5704464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5BD"/>
    <w:rPr>
      <w:rFonts w:asciiTheme="minorHAnsi" w:eastAsiaTheme="minorEastAsia" w:hAnsiTheme="minorHAnsi"/>
      <w:kern w:val="0"/>
      <w:lang w:eastAsia="zh-TW"/>
      <w14:ligatures w14:val="none"/>
    </w:rPr>
  </w:style>
  <w:style w:type="paragraph" w:styleId="Kop1">
    <w:name w:val="heading 1"/>
    <w:basedOn w:val="Standaard"/>
    <w:next w:val="Standaard"/>
    <w:link w:val="Kop1Char"/>
    <w:uiPriority w:val="9"/>
    <w:qFormat/>
    <w:rsid w:val="008D55BD"/>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D55BD"/>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D55BD"/>
    <w:pPr>
      <w:keepNext/>
      <w:keepLines/>
      <w:spacing w:before="160" w:after="80"/>
      <w:outlineLvl w:val="2"/>
    </w:pPr>
    <w:rPr>
      <w:rFonts w:eastAsiaTheme="majorEastAsia"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unhideWhenUsed/>
    <w:qFormat/>
    <w:rsid w:val="008D55BD"/>
    <w:pPr>
      <w:keepNext/>
      <w:keepLines/>
      <w:spacing w:before="80" w:after="40"/>
      <w:outlineLvl w:val="3"/>
    </w:pPr>
    <w:rPr>
      <w:rFonts w:eastAsiaTheme="majorEastAsia" w:cstheme="majorBidi"/>
      <w:i/>
      <w:iCs/>
      <w:color w:val="2E74B5"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8D55BD"/>
    <w:pPr>
      <w:keepNext/>
      <w:keepLines/>
      <w:spacing w:before="80" w:after="40"/>
      <w:outlineLvl w:val="4"/>
    </w:pPr>
    <w:rPr>
      <w:rFonts w:eastAsiaTheme="majorEastAsia" w:cstheme="majorBidi"/>
      <w:color w:val="2E74B5"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8D55BD"/>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8D55BD"/>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8D55BD"/>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8D55BD"/>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5B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D55B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D55BD"/>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rsid w:val="008D55BD"/>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D55BD"/>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D55B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D55B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D55B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D55B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D55B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D55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55BD"/>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D55B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D55BD"/>
    <w:pPr>
      <w:spacing w:before="160"/>
      <w:jc w:val="center"/>
    </w:pPr>
    <w:rPr>
      <w:rFonts w:ascii="Arial" w:eastAsiaTheme="minorHAnsi" w:hAnsi="Arial"/>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8D55BD"/>
    <w:rPr>
      <w:i/>
      <w:iCs/>
      <w:color w:val="404040" w:themeColor="text1" w:themeTint="BF"/>
    </w:rPr>
  </w:style>
  <w:style w:type="paragraph" w:styleId="Lijstalinea">
    <w:name w:val="List Paragraph"/>
    <w:basedOn w:val="Standaard"/>
    <w:uiPriority w:val="34"/>
    <w:qFormat/>
    <w:rsid w:val="008D55BD"/>
    <w:pPr>
      <w:ind w:left="720"/>
      <w:contextualSpacing/>
    </w:pPr>
    <w:rPr>
      <w:rFonts w:ascii="Arial" w:eastAsiaTheme="minorHAnsi" w:hAnsi="Arial"/>
      <w:kern w:val="2"/>
      <w:lang w:eastAsia="en-US"/>
      <w14:ligatures w14:val="standardContextual"/>
    </w:rPr>
  </w:style>
  <w:style w:type="character" w:styleId="Intensievebenadrukking">
    <w:name w:val="Intense Emphasis"/>
    <w:basedOn w:val="Standaardalinea-lettertype"/>
    <w:uiPriority w:val="21"/>
    <w:qFormat/>
    <w:rsid w:val="008D55BD"/>
    <w:rPr>
      <w:i/>
      <w:iCs/>
      <w:color w:val="2E74B5" w:themeColor="accent1" w:themeShade="BF"/>
    </w:rPr>
  </w:style>
  <w:style w:type="paragraph" w:styleId="Duidelijkcitaat">
    <w:name w:val="Intense Quote"/>
    <w:basedOn w:val="Standaard"/>
    <w:next w:val="Standaard"/>
    <w:link w:val="DuidelijkcitaatChar"/>
    <w:uiPriority w:val="30"/>
    <w:qFormat/>
    <w:rsid w:val="008D55BD"/>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Theme="minorHAnsi" w:hAnsi="Arial"/>
      <w:i/>
      <w:iCs/>
      <w:color w:val="2E74B5"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8D55BD"/>
    <w:rPr>
      <w:i/>
      <w:iCs/>
      <w:color w:val="2E74B5" w:themeColor="accent1" w:themeShade="BF"/>
    </w:rPr>
  </w:style>
  <w:style w:type="character" w:styleId="Intensieveverwijzing">
    <w:name w:val="Intense Reference"/>
    <w:basedOn w:val="Standaardalinea-lettertype"/>
    <w:uiPriority w:val="32"/>
    <w:qFormat/>
    <w:rsid w:val="008D55BD"/>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8D55BD"/>
    <w:rPr>
      <w:sz w:val="16"/>
      <w:szCs w:val="16"/>
    </w:rPr>
  </w:style>
  <w:style w:type="paragraph" w:styleId="Geenafstand">
    <w:name w:val="No Spacing"/>
    <w:link w:val="GeenafstandChar"/>
    <w:uiPriority w:val="1"/>
    <w:qFormat/>
    <w:rsid w:val="008D55BD"/>
    <w:pPr>
      <w:spacing w:after="0" w:line="240" w:lineRule="auto"/>
    </w:pPr>
    <w:rPr>
      <w:rFonts w:asciiTheme="minorHAnsi" w:eastAsiaTheme="minorEastAsia" w:hAnsiTheme="minorHAnsi"/>
      <w:kern w:val="0"/>
      <w:lang w:eastAsia="zh-TW"/>
      <w14:ligatures w14:val="none"/>
    </w:rPr>
  </w:style>
  <w:style w:type="character" w:customStyle="1" w:styleId="GeenafstandChar">
    <w:name w:val="Geen afstand Char"/>
    <w:link w:val="Geenafstand"/>
    <w:uiPriority w:val="1"/>
    <w:rsid w:val="008D55BD"/>
    <w:rPr>
      <w:rFonts w:asciiTheme="minorHAnsi" w:eastAsiaTheme="minorEastAsia" w:hAnsiTheme="minorHAnsi"/>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BasisArchiefDocument" ma:contentTypeID="0x010100ACB23D82E564BA4F845A28018CE956460019853CE070083A499A769417CD23A58C" ma:contentTypeVersion="25" ma:contentTypeDescription="" ma:contentTypeScope="" ma:versionID="ca9c740023365ccffa990ace6aded521">
  <xsd:schema xmlns:xsd="http://www.w3.org/2001/XMLSchema" xmlns:xs="http://www.w3.org/2001/XMLSchema" xmlns:p="http://schemas.microsoft.com/office/2006/metadata/properties" xmlns:ns2="f9b2b89e-0512-4152-bb98-e26fc5cc94f9" xmlns:ns4="f9b2b89e-0512-4152-bb98-e26fc5cc94f9" xmlns:ns5="f5706725-1f74-4720-862c-a143c90dc963" targetNamespace="http://schemas.microsoft.com/office/2006/metadata/properties" ma:root="true" ma:fieldsID="95f3b49d4970bf9f8129ec7e94a9c461" ns4:_="" ns5:_="">
    <xsd:import namespace="f9b2b89e-0512-4152-bb98-e26fc5cc94f9"/>
    <xsd:import namespace="f9b2b89e-0512-4152-bb98-e26fc5cc94f9"/>
    <xsd:import namespace="f5706725-1f74-4720-862c-a143c90dc963"/>
    <xsd:element name="properties">
      <xsd:complexType>
        <xsd:sequence>
          <xsd:element name="documentManagement">
            <xsd:complexType>
              <xsd:all>
                <xsd:element ref="ns2:pfBehandelaar" minOccurs="0"/>
                <xsd:element ref="ns2:ic7bc0bece1c448f8ceec46a4675dd9b" minOccurs="0"/>
                <xsd:element ref="ns4:_dlc_DocId" minOccurs="0"/>
                <xsd:element ref="ns4:_dlc_DocIdUrl" minOccurs="0"/>
                <xsd:element ref="ns4:_dlc_DocIdPersistId" minOccurs="0"/>
                <xsd:element ref="ns4:TaxCatchAllLabel" minOccurs="0"/>
                <xsd:element ref="ns4:TaxCatchAll" minOccurs="0"/>
                <xsd:element ref="ns4:TaxKeywordTaxHTField" minOccurs="0"/>
                <xsd:element ref="ns4:SharedWithUsers" minOccurs="0"/>
                <xsd:element ref="ns4:SharedWithDetail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AutoKeyPoints" minOccurs="0"/>
                <xsd:element ref="ns5:MediaServiceKeyPoints" minOccurs="0"/>
                <xsd:element ref="ns5:MediaServiceLocation"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2b89e-0512-4152-bb98-e26fc5cc94f9" elementFormDefault="qualified">
    <xsd:import namespace="http://schemas.microsoft.com/office/2006/documentManagement/types"/>
    <xsd:import namespace="http://schemas.microsoft.com/office/infopath/2007/PartnerControls"/>
    <xsd:element name="pfBehandelaar" ma:index="3"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7bc0bece1c448f8ceec46a4675dd9b" ma:index="11"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2b89e-0512-4152-bb98-e26fc5cc94f9"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Label" ma:index="15" nillable="true" ma:displayName="Taxonomy Catch All Column1" ma:hidden="true" ma:list="{93315209-b585-4cce-bb57-44a355e797b3}" ma:internalName="TaxCatchAllLabel" ma:readOnly="true" ma:showField="CatchAllDataLabel" ma:web="f9b2b89e-0512-4152-bb98-e26fc5cc94f9">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Taxonomy Catch All Column" ma:hidden="true" ma:list="{93315209-b585-4cce-bb57-44a355e797b3}" ma:internalName="TaxCatchAll" ma:showField="CatchAllData" ma:web="f9b2b89e-0512-4152-bb98-e26fc5cc94f9">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06725-1f74-4720-862c-a143c90dc963" elementFormDefault="qualified">
    <xsd:import namespace="http://schemas.microsoft.com/office/2006/documentManagement/types"/>
    <xsd:import namespace="http://schemas.microsoft.com/office/infopath/2007/PartnerControls"/>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eaf9897b-199b-4c07-af7a-d0a2188f1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7bc0bece1c448f8ceec46a4675dd9b xmlns="f9b2b89e-0512-4152-bb98-e26fc5cc94f9">
      <Terms xmlns="http://schemas.microsoft.com/office/infopath/2007/PartnerControls"/>
    </ic7bc0bece1c448f8ceec46a4675dd9b>
    <TaxCatchAll xmlns="f9b2b89e-0512-4152-bb98-e26fc5cc94f9">
      <Value>795</Value>
    </TaxCatchAll>
    <lcf76f155ced4ddcb4097134ff3c332f xmlns="f5706725-1f74-4720-862c-a143c90dc963">
      <Terms xmlns="http://schemas.microsoft.com/office/infopath/2007/PartnerControls"/>
    </lcf76f155ced4ddcb4097134ff3c332f>
    <TaxKeywordTaxHTField xmlns="f9b2b89e-0512-4152-bb98-e26fc5cc94f9">
      <Terms xmlns="http://schemas.microsoft.com/office/infopath/2007/PartnerControls"/>
    </TaxKeywordTaxHTField>
    <pfBehandelaar xmlns="f9b2b89e-0512-4152-bb98-e26fc5cc94f9">
      <UserInfo>
        <DisplayName/>
        <AccountId xsi:nil="true"/>
        <AccountType/>
      </UserInfo>
    </pfBehandelaar>
  </documentManagement>
</p:properties>
</file>

<file path=customXml/itemProps1.xml><?xml version="1.0" encoding="utf-8"?>
<ds:datastoreItem xmlns:ds="http://schemas.openxmlformats.org/officeDocument/2006/customXml" ds:itemID="{73575BBA-8DDC-48D4-9703-517E3FF56D34}">
  <ds:schemaRefs>
    <ds:schemaRef ds:uri="http://schemas.microsoft.com/sharepoint/v3/contenttype/forms"/>
  </ds:schemaRefs>
</ds:datastoreItem>
</file>

<file path=customXml/itemProps2.xml><?xml version="1.0" encoding="utf-8"?>
<ds:datastoreItem xmlns:ds="http://schemas.openxmlformats.org/officeDocument/2006/customXml" ds:itemID="{CF7907A9-3116-4202-AFFA-61B1EC04395E}">
  <ds:schemaRefs>
    <ds:schemaRef ds:uri="http://schemas.microsoft.com/sharepoint/events"/>
  </ds:schemaRefs>
</ds:datastoreItem>
</file>

<file path=customXml/itemProps3.xml><?xml version="1.0" encoding="utf-8"?>
<ds:datastoreItem xmlns:ds="http://schemas.openxmlformats.org/officeDocument/2006/customXml" ds:itemID="{B4A60299-0A49-4C8C-9B1A-53240815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2b89e-0512-4152-bb98-e26fc5cc94f9"/>
    <ds:schemaRef ds:uri="f5706725-1f74-4720-862c-a143c90dc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78E51-A9FA-4E90-89E7-E87AD41199EF}">
  <ds:schemaRefs>
    <ds:schemaRef ds:uri="http://schemas.microsoft.com/office/2006/metadata/properties"/>
    <ds:schemaRef ds:uri="http://schemas.microsoft.com/office/infopath/2007/PartnerControls"/>
    <ds:schemaRef ds:uri="f9b2b89e-0512-4152-bb98-e26fc5cc94f9"/>
    <ds:schemaRef ds:uri="f5706725-1f74-4720-862c-a143c90dc96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847</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Provincie Fryslan</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Hiemstra-Bolman, Ciska</dc:creator>
  <cp:keywords/>
  <dc:description/>
  <cp:lastModifiedBy>Hiemstra-Bolman, Ciska</cp:lastModifiedBy>
  <cp:revision>2</cp:revision>
  <dcterms:created xsi:type="dcterms:W3CDTF">2026-04-10T07:57:00Z</dcterms:created>
  <dcterms:modified xsi:type="dcterms:W3CDTF">2026-04-17T07:15:00Z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0x010100ACB23D82E564BA4F845A28018CE956460019853CE070083A499A769417CD23A58C</vt:lpwstr>
  </property>
  <property fmtid="{D5CDD505-2E9C-101B-9397-08002B2CF9AE}" pid="3" name="g613eed44ffa49e891404850c3b6dc2f">
    <vt:lpwstr>Team Subsidiezaken 2|a5d57703-59c1-4856-acb9-cab96f50add9</vt:lpwstr>
  </property>
  <property fmtid="{D5CDD505-2E9C-101B-9397-08002B2CF9AE}" pid="4" name="TaxKeyword">
    <vt:lpwstr/>
  </property>
  <property fmtid="{D5CDD505-2E9C-101B-9397-08002B2CF9AE}" pid="5" name="MediaServiceImageTags">
    <vt:lpwstr/>
  </property>
  <property fmtid="{D5CDD505-2E9C-101B-9397-08002B2CF9AE}" pid="6" name="pfDocumenttype">
    <vt:lpwstr/>
  </property>
  <property fmtid="{D5CDD505-2E9C-101B-9397-08002B2CF9AE}" pid="7" name="pfTypeRelatie">
    <vt:lpwstr>795;#Team Subsidiezaken 2|a5d57703-59c1-4856-acb9-cab96f50add9</vt:lpwstr>
  </property>
</Properties>
</file>